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8CDC41" w14:textId="77777777" w:rsidR="007620AC" w:rsidRDefault="00000000">
      <w:pPr>
        <w:tabs>
          <w:tab w:val="right" w:pos="522"/>
          <w:tab w:val="left" w:pos="5370"/>
        </w:tabs>
        <w:bidi/>
        <w:spacing w:line="240" w:lineRule="auto"/>
        <w:ind w:left="522"/>
        <w:jc w:val="center"/>
        <w:rPr>
          <w:rFonts w:ascii="Calibri" w:eastAsia="Calibri" w:hAnsi="Calibri" w:cs="Calibri"/>
          <w:b/>
          <w:sz w:val="28"/>
        </w:rPr>
      </w:pPr>
      <w:proofErr w:type="spellStart"/>
      <w:r>
        <w:rPr>
          <w:rFonts w:ascii="Calibri" w:eastAsia="Calibri" w:hAnsi="Calibri" w:cs="Calibri"/>
          <w:b/>
          <w:sz w:val="28"/>
        </w:rPr>
        <w:t>جدول</w:t>
      </w:r>
      <w:proofErr w:type="spellEnd"/>
      <w:r>
        <w:rPr>
          <w:rFonts w:ascii="Calibri" w:eastAsia="Calibri" w:hAnsi="Calibri" w:cs="Calibri"/>
          <w:b/>
          <w:sz w:val="28"/>
        </w:rPr>
        <w:t xml:space="preserve"> 1- </w:t>
      </w:r>
      <w:proofErr w:type="spellStart"/>
      <w:r>
        <w:rPr>
          <w:rFonts w:ascii="Calibri" w:eastAsia="Calibri" w:hAnsi="Calibri" w:cs="Calibri"/>
          <w:b/>
          <w:sz w:val="28"/>
        </w:rPr>
        <w:t>درس</w:t>
      </w:r>
      <w:proofErr w:type="spellEnd"/>
      <w:r>
        <w:rPr>
          <w:rFonts w:ascii="Calibri" w:eastAsia="Calibri" w:hAnsi="Calibri" w:cs="Calibri"/>
          <w:b/>
          <w:sz w:val="28"/>
        </w:rPr>
        <w:t xml:space="preserve"> </w:t>
      </w:r>
      <w:proofErr w:type="spellStart"/>
      <w:r>
        <w:rPr>
          <w:rFonts w:ascii="Calibri" w:eastAsia="Calibri" w:hAnsi="Calibri" w:cs="Calibri"/>
          <w:b/>
          <w:sz w:val="28"/>
        </w:rPr>
        <w:t>تربیتی</w:t>
      </w:r>
      <w:proofErr w:type="spellEnd"/>
    </w:p>
    <w:tbl>
      <w:tblPr>
        <w:bidiVisual/>
        <w:tblW w:w="0" w:type="auto"/>
        <w:tblInd w:w="63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3"/>
        <w:gridCol w:w="1790"/>
        <w:gridCol w:w="3256"/>
        <w:gridCol w:w="2962"/>
      </w:tblGrid>
      <w:tr w:rsidR="007620AC" w14:paraId="5E88482A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0FEA8029" w14:textId="77777777" w:rsidR="007620AC" w:rsidRDefault="00000000">
            <w:pPr>
              <w:bidi/>
              <w:spacing w:after="0" w:line="256" w:lineRule="auto"/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b/>
                <w:sz w:val="24"/>
              </w:rPr>
              <w:t>ردیف</w:t>
            </w:r>
            <w:proofErr w:type="spellEnd"/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32435081" w14:textId="77777777" w:rsidR="007620AC" w:rsidRDefault="00000000">
            <w:pPr>
              <w:bidi/>
              <w:spacing w:after="0" w:line="256" w:lineRule="auto"/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b/>
                <w:sz w:val="24"/>
              </w:rPr>
              <w:t>نام</w:t>
            </w:r>
            <w:proofErr w:type="spellEnd"/>
            <w:r>
              <w:rPr>
                <w:rFonts w:ascii="Calibri" w:eastAsia="Calibri" w:hAnsi="Calibri" w:cs="Calibri"/>
                <w:b/>
                <w:sz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sz w:val="24"/>
              </w:rPr>
              <w:t>رشته</w:t>
            </w:r>
            <w:proofErr w:type="spell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5B7433C3" w14:textId="77777777" w:rsidR="007620AC" w:rsidRDefault="00000000">
            <w:pPr>
              <w:bidi/>
              <w:spacing w:after="0" w:line="256" w:lineRule="auto"/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b/>
                <w:sz w:val="24"/>
              </w:rPr>
              <w:t>عنوان</w:t>
            </w:r>
            <w:proofErr w:type="spellEnd"/>
            <w:r>
              <w:rPr>
                <w:rFonts w:ascii="Calibri" w:eastAsia="Calibri" w:hAnsi="Calibri" w:cs="Calibri"/>
                <w:b/>
                <w:sz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sz w:val="24"/>
              </w:rPr>
              <w:t>درس</w:t>
            </w:r>
            <w:proofErr w:type="spellEnd"/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13F2A3F2" w14:textId="77777777" w:rsidR="007620AC" w:rsidRDefault="00000000">
            <w:pPr>
              <w:bidi/>
              <w:spacing w:after="0" w:line="256" w:lineRule="auto"/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b/>
                <w:sz w:val="24"/>
              </w:rPr>
              <w:t>منبع</w:t>
            </w:r>
            <w:proofErr w:type="spellEnd"/>
            <w:r>
              <w:rPr>
                <w:rFonts w:ascii="Calibri" w:eastAsia="Calibri" w:hAnsi="Calibri" w:cs="Calibri"/>
                <w:b/>
                <w:sz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sz w:val="24"/>
              </w:rPr>
              <w:t>آموزشی</w:t>
            </w:r>
            <w:proofErr w:type="spellEnd"/>
          </w:p>
        </w:tc>
      </w:tr>
      <w:tr w:rsidR="007620AC" w14:paraId="3AA9E504" w14:textId="77777777">
        <w:tblPrEx>
          <w:tblCellMar>
            <w:top w:w="0" w:type="dxa"/>
            <w:bottom w:w="0" w:type="dxa"/>
          </w:tblCellMar>
        </w:tblPrEx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D455783" w14:textId="77777777" w:rsidR="007620AC" w:rsidRDefault="00000000">
            <w:pPr>
              <w:tabs>
                <w:tab w:val="right" w:pos="522"/>
                <w:tab w:val="left" w:pos="5370"/>
              </w:tabs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1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83B17C7" w14:textId="77777777" w:rsidR="007620AC" w:rsidRDefault="00000000">
            <w:pPr>
              <w:tabs>
                <w:tab w:val="right" w:pos="522"/>
                <w:tab w:val="left" w:pos="5370"/>
              </w:tabs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4"/>
              </w:rPr>
              <w:t>همه</w:t>
            </w:r>
            <w:proofErr w:type="spellEnd"/>
            <w:r>
              <w:rPr>
                <w:rFonts w:ascii="Calibri" w:eastAsia="Calibri" w:hAnsi="Calibri" w:cs="Calibri"/>
                <w:sz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</w:rPr>
              <w:t>رشته</w:t>
            </w:r>
            <w:proofErr w:type="spellEnd"/>
            <w:r>
              <w:rPr>
                <w:rFonts w:ascii="Calibri" w:eastAsia="Calibri" w:hAnsi="Calibri" w:cs="Calibri"/>
                <w:sz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</w:rPr>
              <w:t>ها</w:t>
            </w:r>
            <w:proofErr w:type="spell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E0C094D" w14:textId="77777777" w:rsidR="007620AC" w:rsidRDefault="00000000">
            <w:pPr>
              <w:tabs>
                <w:tab w:val="right" w:pos="522"/>
                <w:tab w:val="left" w:pos="5370"/>
              </w:tabs>
              <w:bidi/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24"/>
              </w:rPr>
            </w:pPr>
            <w:proofErr w:type="spellStart"/>
            <w:r>
              <w:rPr>
                <w:rFonts w:ascii="Calibri" w:eastAsia="Calibri" w:hAnsi="Calibri" w:cs="Calibri"/>
                <w:b/>
                <w:sz w:val="24"/>
              </w:rPr>
              <w:t>نظریه‌های</w:t>
            </w:r>
            <w:proofErr w:type="spellEnd"/>
            <w:r>
              <w:rPr>
                <w:rFonts w:ascii="Calibri" w:eastAsia="Calibri" w:hAnsi="Calibri" w:cs="Calibri"/>
                <w:b/>
                <w:sz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sz w:val="24"/>
              </w:rPr>
              <w:t>یادگیری</w:t>
            </w:r>
            <w:proofErr w:type="spellEnd"/>
            <w:r>
              <w:rPr>
                <w:rFonts w:ascii="Calibri" w:eastAsia="Calibri" w:hAnsi="Calibri" w:cs="Calibri"/>
                <w:b/>
                <w:sz w:val="24"/>
              </w:rPr>
              <w:t xml:space="preserve"> و </w:t>
            </w:r>
            <w:proofErr w:type="spellStart"/>
            <w:r>
              <w:rPr>
                <w:rFonts w:ascii="Calibri" w:eastAsia="Calibri" w:hAnsi="Calibri" w:cs="Calibri"/>
                <w:b/>
                <w:sz w:val="24"/>
              </w:rPr>
              <w:t>آموزش</w:t>
            </w:r>
            <w:proofErr w:type="spellEnd"/>
          </w:p>
          <w:p w14:paraId="5ECDD145" w14:textId="77777777" w:rsidR="007620AC" w:rsidRDefault="007620AC">
            <w:pPr>
              <w:bidi/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E23F7A" w14:textId="77777777" w:rsidR="007620AC" w:rsidRDefault="00000000">
            <w:pPr>
              <w:tabs>
                <w:tab w:val="right" w:pos="522"/>
                <w:tab w:val="left" w:pos="5370"/>
              </w:tabs>
              <w:bidi/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مقدمه‌ای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بر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نظریه‌های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یادگیری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نوشته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اولسون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،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متیو.اچ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و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هرگنهان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بی.آر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ترجمه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علی‌اکبر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سیف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 xml:space="preserve">،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انتشارات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دوران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</w:tbl>
    <w:p w14:paraId="22C39F0D" w14:textId="77777777" w:rsidR="007620AC" w:rsidRDefault="007620AC">
      <w:pPr>
        <w:tabs>
          <w:tab w:val="right" w:pos="522"/>
          <w:tab w:val="left" w:pos="5370"/>
        </w:tabs>
        <w:bidi/>
        <w:spacing w:line="240" w:lineRule="auto"/>
        <w:ind w:left="522"/>
        <w:jc w:val="center"/>
        <w:rPr>
          <w:rFonts w:ascii="Calibri" w:eastAsia="Calibri" w:hAnsi="Calibri" w:cs="Calibri"/>
          <w:b/>
          <w:sz w:val="28"/>
        </w:rPr>
      </w:pPr>
    </w:p>
    <w:p w14:paraId="45B96BF9" w14:textId="77777777" w:rsidR="007620AC" w:rsidRDefault="00000000">
      <w:pPr>
        <w:tabs>
          <w:tab w:val="right" w:pos="522"/>
          <w:tab w:val="left" w:pos="5370"/>
        </w:tabs>
        <w:bidi/>
        <w:spacing w:line="240" w:lineRule="auto"/>
        <w:ind w:left="522"/>
        <w:jc w:val="center"/>
        <w:rPr>
          <w:rFonts w:ascii="Calibri" w:eastAsia="Calibri" w:hAnsi="Calibri" w:cs="Calibri"/>
          <w:b/>
          <w:sz w:val="28"/>
        </w:rPr>
      </w:pPr>
      <w:r>
        <w:rPr>
          <w:rFonts w:ascii="Calibri" w:eastAsia="Calibri" w:hAnsi="Calibri" w:cs="Calibri"/>
          <w:b/>
          <w:sz w:val="28"/>
        </w:rPr>
        <w:t xml:space="preserve">جدول2-سرفصل </w:t>
      </w:r>
      <w:proofErr w:type="spellStart"/>
      <w:r>
        <w:rPr>
          <w:rFonts w:ascii="Calibri" w:eastAsia="Calibri" w:hAnsi="Calibri" w:cs="Calibri"/>
          <w:b/>
          <w:sz w:val="28"/>
        </w:rPr>
        <w:t>درس</w:t>
      </w:r>
      <w:proofErr w:type="spellEnd"/>
      <w:r>
        <w:rPr>
          <w:rFonts w:ascii="Calibri" w:eastAsia="Calibri" w:hAnsi="Calibri" w:cs="Calibri"/>
          <w:b/>
          <w:sz w:val="28"/>
        </w:rPr>
        <w:t xml:space="preserve"> </w:t>
      </w:r>
      <w:proofErr w:type="spellStart"/>
      <w:r>
        <w:rPr>
          <w:rFonts w:ascii="Calibri" w:eastAsia="Calibri" w:hAnsi="Calibri" w:cs="Calibri"/>
          <w:b/>
          <w:sz w:val="28"/>
        </w:rPr>
        <w:t>نظریه</w:t>
      </w:r>
      <w:proofErr w:type="spellEnd"/>
      <w:r>
        <w:rPr>
          <w:rFonts w:ascii="Calibri" w:eastAsia="Calibri" w:hAnsi="Calibri" w:cs="Calibri"/>
          <w:b/>
          <w:sz w:val="28"/>
        </w:rPr>
        <w:t xml:space="preserve"> </w:t>
      </w:r>
      <w:proofErr w:type="spellStart"/>
      <w:r>
        <w:rPr>
          <w:rFonts w:ascii="Calibri" w:eastAsia="Calibri" w:hAnsi="Calibri" w:cs="Calibri"/>
          <w:b/>
          <w:sz w:val="28"/>
        </w:rPr>
        <w:t>های</w:t>
      </w:r>
      <w:proofErr w:type="spellEnd"/>
      <w:r>
        <w:rPr>
          <w:rFonts w:ascii="Calibri" w:eastAsia="Calibri" w:hAnsi="Calibri" w:cs="Calibri"/>
          <w:b/>
          <w:sz w:val="28"/>
        </w:rPr>
        <w:t xml:space="preserve"> </w:t>
      </w:r>
      <w:proofErr w:type="spellStart"/>
      <w:r>
        <w:rPr>
          <w:rFonts w:ascii="Calibri" w:eastAsia="Calibri" w:hAnsi="Calibri" w:cs="Calibri"/>
          <w:b/>
          <w:sz w:val="28"/>
        </w:rPr>
        <w:t>یادگیری</w:t>
      </w:r>
      <w:proofErr w:type="spellEnd"/>
      <w:r>
        <w:rPr>
          <w:rFonts w:ascii="Calibri" w:eastAsia="Calibri" w:hAnsi="Calibri" w:cs="Calibri"/>
          <w:b/>
          <w:sz w:val="28"/>
        </w:rPr>
        <w:t xml:space="preserve"> و </w:t>
      </w:r>
      <w:proofErr w:type="spellStart"/>
      <w:r>
        <w:rPr>
          <w:rFonts w:ascii="Calibri" w:eastAsia="Calibri" w:hAnsi="Calibri" w:cs="Calibri"/>
          <w:b/>
          <w:sz w:val="28"/>
        </w:rPr>
        <w:t>آموزش</w:t>
      </w:r>
      <w:proofErr w:type="spellEnd"/>
    </w:p>
    <w:tbl>
      <w:tblPr>
        <w:bidiVisual/>
        <w:tblW w:w="0" w:type="auto"/>
        <w:tblInd w:w="54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05"/>
        <w:gridCol w:w="1810"/>
        <w:gridCol w:w="4205"/>
        <w:gridCol w:w="687"/>
      </w:tblGrid>
      <w:tr w:rsidR="007620AC" w14:paraId="5A424C8A" w14:textId="77777777" w:rsidTr="00CD43B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left w:w="108" w:type="dxa"/>
              <w:right w:w="108" w:type="dxa"/>
            </w:tcMar>
          </w:tcPr>
          <w:p w14:paraId="756FF669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b/>
                <w:sz w:val="20"/>
              </w:rPr>
              <w:t>بخش</w:t>
            </w:r>
            <w:proofErr w:type="spellEnd"/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left w:w="108" w:type="dxa"/>
              <w:right w:w="108" w:type="dxa"/>
            </w:tcMar>
          </w:tcPr>
          <w:p w14:paraId="634D1ADF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b/>
                <w:sz w:val="20"/>
              </w:rPr>
              <w:t>فصل</w:t>
            </w:r>
            <w:proofErr w:type="spellEnd"/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left w:w="108" w:type="dxa"/>
              <w:right w:w="108" w:type="dxa"/>
            </w:tcMar>
          </w:tcPr>
          <w:p w14:paraId="200CB940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b/>
                <w:sz w:val="20"/>
              </w:rPr>
              <w:t>عنوان</w:t>
            </w:r>
            <w:proofErr w:type="spellEnd"/>
            <w:r>
              <w:rPr>
                <w:rFonts w:ascii="Calibri" w:eastAsia="Calibri" w:hAnsi="Calibri" w:cs="Calibri"/>
                <w:b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sz w:val="20"/>
              </w:rPr>
              <w:t>مطالب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left w:w="108" w:type="dxa"/>
              <w:right w:w="108" w:type="dxa"/>
            </w:tcMar>
          </w:tcPr>
          <w:p w14:paraId="232B96BB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b/>
                <w:sz w:val="20"/>
              </w:rPr>
              <w:t>صفحه</w:t>
            </w:r>
            <w:proofErr w:type="spellEnd"/>
          </w:p>
        </w:tc>
      </w:tr>
      <w:tr w:rsidR="007620AC" w14:paraId="2063D092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3C7F2459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بخش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یک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: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مقدمه‌ای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بر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یادگیری</w:t>
            </w:r>
            <w:proofErr w:type="spellEnd"/>
          </w:p>
        </w:tc>
        <w:tc>
          <w:tcPr>
            <w:tcW w:w="1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74A2387B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فصل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اول</w:t>
            </w:r>
            <w:proofErr w:type="spellEnd"/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0E5DB1D6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یادگیری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چیست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>؟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3B7C08A1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39</w:t>
            </w:r>
          </w:p>
        </w:tc>
      </w:tr>
      <w:tr w:rsidR="007620AC" w14:paraId="56791BE3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304540D7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6BD53CBD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6E88072F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آیا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یادگیری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باید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به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تغییر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بینجامد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>؟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73887EE5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41</w:t>
            </w:r>
          </w:p>
        </w:tc>
      </w:tr>
      <w:tr w:rsidR="007620AC" w14:paraId="3F70230C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7F2FC7AD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670C2D7C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5939CEC7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رویکردهای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مختلف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نسبت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به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یادگیری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19BE953E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42</w:t>
            </w:r>
          </w:p>
        </w:tc>
      </w:tr>
      <w:tr w:rsidR="007620AC" w14:paraId="467EC4F4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4BFD4DB0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4F9A39F8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6AAEC18C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نسبتاً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پایدار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چقدر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پایدار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است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>؟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4D440BA0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44</w:t>
            </w:r>
          </w:p>
        </w:tc>
      </w:tr>
      <w:tr w:rsidR="007620AC" w14:paraId="7BE4A809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08569797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7D023240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فصل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دوم</w:t>
            </w:r>
            <w:proofErr w:type="spellEnd"/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584EBC82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علم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چیست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>؟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5FA2996C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69</w:t>
            </w:r>
          </w:p>
        </w:tc>
      </w:tr>
      <w:tr w:rsidR="007620AC" w14:paraId="58751318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0E0F5F61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7ECAB452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4174B4CF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جنبه‌های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نظریه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35494F54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69</w:t>
            </w:r>
          </w:p>
        </w:tc>
      </w:tr>
      <w:tr w:rsidR="007620AC" w14:paraId="0BF2AD6D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1E6A67CC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731CBC0C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30670861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از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پژوهش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تا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نظریه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7BB939FE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70</w:t>
            </w:r>
          </w:p>
        </w:tc>
      </w:tr>
      <w:tr w:rsidR="007620AC" w14:paraId="0AA2FCA8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77F3F4A7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64FDA480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719CA9D3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نظریه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به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عنوان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ابزار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-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اصل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ایجاز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222BF000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72</w:t>
            </w:r>
          </w:p>
        </w:tc>
      </w:tr>
      <w:tr w:rsidR="007620AC" w14:paraId="7259F583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29C3658A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481B34ED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فصل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سوم</w:t>
            </w:r>
            <w:proofErr w:type="spellEnd"/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56CA411D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شناخت‌شناسی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و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نظریه‌های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یادگیری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2830C749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90</w:t>
            </w:r>
          </w:p>
        </w:tc>
      </w:tr>
      <w:tr w:rsidR="007620AC" w14:paraId="16A86F50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002C9310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491272A7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63C54017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نخستین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مکتب‌های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روان‌شناسی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2138AF43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107</w:t>
            </w:r>
          </w:p>
        </w:tc>
      </w:tr>
      <w:tr w:rsidR="007620AC" w14:paraId="0C2AA191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56C31EF6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1687A779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6D309A35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اراده‌گرایی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7C98C781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107</w:t>
            </w:r>
          </w:p>
        </w:tc>
      </w:tr>
      <w:tr w:rsidR="007620AC" w14:paraId="398AB23E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5A84FB56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3AAAECE8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4A4F51E1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ساخت‌گرایی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6004F728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109</w:t>
            </w:r>
          </w:p>
        </w:tc>
      </w:tr>
      <w:tr w:rsidR="007620AC" w14:paraId="3505D57C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18E4BFE7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1AA2D06B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732267FE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کارکردگرایی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09FC7449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110</w:t>
            </w:r>
          </w:p>
        </w:tc>
      </w:tr>
      <w:tr w:rsidR="007620AC" w14:paraId="48CE6B3D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3BDBBC08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77C94B68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005EC015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رفتارگرایی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4DFB9D4D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112</w:t>
            </w:r>
          </w:p>
        </w:tc>
      </w:tr>
      <w:tr w:rsidR="007620AC" w14:paraId="7C731359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31F4EA56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بخش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دو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: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نظریه‌های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عمدتاً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کارکردگرایی</w:t>
            </w:r>
            <w:proofErr w:type="spellEnd"/>
          </w:p>
        </w:tc>
        <w:tc>
          <w:tcPr>
            <w:tcW w:w="1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1BCEC3A8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فصل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ششم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: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ادوارد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لی</w:t>
            </w:r>
            <w:proofErr w:type="spellEnd"/>
          </w:p>
          <w:p w14:paraId="6634B269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ثروندایک</w:t>
            </w:r>
            <w:proofErr w:type="spellEnd"/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0EAD50B2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مفاهیم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نظری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عمده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29FD7B61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128</w:t>
            </w:r>
          </w:p>
        </w:tc>
      </w:tr>
      <w:tr w:rsidR="007620AC" w14:paraId="44D92322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65BA38BD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341F8ACB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391C694F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پیوند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گرایی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1200D431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128</w:t>
            </w:r>
          </w:p>
        </w:tc>
      </w:tr>
      <w:tr w:rsidR="007620AC" w14:paraId="5CA47FF1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5925A631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146593A6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17DE05B9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گزینش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و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پیوند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3B8E4972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128</w:t>
            </w:r>
          </w:p>
        </w:tc>
      </w:tr>
      <w:tr w:rsidR="007620AC" w14:paraId="0A7A1697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2DCD1F1D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312F57DB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004A2881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یادگیری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افزایشی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است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نه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بینشی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38009C54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128</w:t>
            </w:r>
          </w:p>
        </w:tc>
      </w:tr>
      <w:tr w:rsidR="007620AC" w14:paraId="4FF7502C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08C15914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7C830CE8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4A932CC5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ثورندایک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پیش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از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1930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0B297196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132</w:t>
            </w:r>
          </w:p>
        </w:tc>
      </w:tr>
      <w:tr w:rsidR="007620AC" w14:paraId="0A27A346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5DCB892A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645A00A6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6BD7CBD3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قانون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آمادگی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50B35097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133</w:t>
            </w:r>
          </w:p>
        </w:tc>
      </w:tr>
      <w:tr w:rsidR="007620AC" w14:paraId="07D3CD1C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2DAF75EB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3F4B88C5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4FCAC395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قانون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تمرین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30BE190D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134</w:t>
            </w:r>
          </w:p>
        </w:tc>
      </w:tr>
      <w:tr w:rsidR="007620AC" w14:paraId="60FC2DDB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6370664A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6A110AC8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2AD79C0F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قانون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اثر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2C8AB987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134</w:t>
            </w:r>
          </w:p>
        </w:tc>
      </w:tr>
      <w:tr w:rsidR="007620AC" w14:paraId="41649439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45782524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2D35B636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009C112F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مفاهیم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ثانوی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پیش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از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1930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7E4BEA33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135</w:t>
            </w:r>
          </w:p>
        </w:tc>
      </w:tr>
      <w:tr w:rsidR="007620AC" w14:paraId="422CA50F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4A973116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254305CA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1741E656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پاسخ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چندگانه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562E1D73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136</w:t>
            </w:r>
          </w:p>
        </w:tc>
      </w:tr>
      <w:tr w:rsidR="007620AC" w14:paraId="24E54F3C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45C519F3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35814F87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3CD4B620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آمایه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یا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نگرش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475BB96C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136</w:t>
            </w:r>
          </w:p>
        </w:tc>
      </w:tr>
      <w:tr w:rsidR="007620AC" w14:paraId="26903A2C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0C1D72F6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60D009C1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28130868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غلبه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عناصر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7D3648B5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136</w:t>
            </w:r>
          </w:p>
        </w:tc>
      </w:tr>
      <w:tr w:rsidR="007620AC" w14:paraId="206D3F68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06146B8D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586EB139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2991CFF8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پاسخ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از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راه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قیاس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59E42506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137</w:t>
            </w:r>
          </w:p>
        </w:tc>
      </w:tr>
      <w:tr w:rsidR="007620AC" w14:paraId="758A30AB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1A2645A9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494B25CF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62F63FA1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جای‌گشت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تداعی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1BF3DDA1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140</w:t>
            </w:r>
          </w:p>
        </w:tc>
      </w:tr>
      <w:tr w:rsidR="007620AC" w14:paraId="66BB3644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5179FF64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50476F20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5F7F099F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ثروندایک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پس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از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1930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27A1014A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141</w:t>
            </w:r>
          </w:p>
        </w:tc>
      </w:tr>
      <w:tr w:rsidR="007620AC" w14:paraId="4D8CF78F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371DCC5C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0D35B05B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5FBB38BF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قانون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تمرین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تجدیدنظر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شده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2C7CDF3D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141</w:t>
            </w:r>
          </w:p>
        </w:tc>
      </w:tr>
      <w:tr w:rsidR="007620AC" w14:paraId="414CF3CB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3401FEF8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4B9F37A6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3626C70D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قانون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اثر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تجدیدنظر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شده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08AF1F35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141</w:t>
            </w:r>
          </w:p>
        </w:tc>
      </w:tr>
      <w:tr w:rsidR="007620AC" w14:paraId="5025E510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40318DC9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48192618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07D74AE7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تعلق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پذیری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69612DC6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142</w:t>
            </w:r>
          </w:p>
        </w:tc>
      </w:tr>
      <w:tr w:rsidR="007620AC" w14:paraId="1077D187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58D17260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761DA55D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6A5DCE7A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گسترش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اثر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2BC71B87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144</w:t>
            </w:r>
          </w:p>
        </w:tc>
      </w:tr>
      <w:tr w:rsidR="007620AC" w14:paraId="2371DD28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5FADE675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2D6EFC1C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15CA7D57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دیدگاه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ثروندایک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درباره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آموزش‌وپرورش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14372ACE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144</w:t>
            </w:r>
          </w:p>
        </w:tc>
      </w:tr>
      <w:tr w:rsidR="007620AC" w14:paraId="432B27AA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623E0379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00181ECA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3861D917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خدمت‌ها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1CD2198E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147</w:t>
            </w:r>
          </w:p>
        </w:tc>
      </w:tr>
      <w:tr w:rsidR="007620AC" w14:paraId="3CB9E759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699D7EBF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5A1444FE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56A7BBC8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انتقادها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7BDBDCFE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148</w:t>
            </w:r>
          </w:p>
        </w:tc>
      </w:tr>
      <w:tr w:rsidR="007620AC" w14:paraId="4E122753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42ED0A8A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1ABA155F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فصل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پنجم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>:</w:t>
            </w:r>
          </w:p>
          <w:p w14:paraId="6FD28AB1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بوریس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فردریک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اسکینر</w:t>
            </w:r>
            <w:proofErr w:type="spellEnd"/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7B1F9671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مفاهیم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نظری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عمده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05DB6DDB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156</w:t>
            </w:r>
          </w:p>
        </w:tc>
      </w:tr>
      <w:tr w:rsidR="007620AC" w14:paraId="36D6DEBD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297B80E8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020D1163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4A60B2EB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رفتارگرایی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رادیکال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7ABCC4CD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156</w:t>
            </w:r>
          </w:p>
        </w:tc>
      </w:tr>
      <w:tr w:rsidR="007620AC" w14:paraId="2F0E57F0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6C2BD2A6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683D09E9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08B22729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رفتار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پاسخگر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و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رفتار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کنشگر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3594F882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157</w:t>
            </w:r>
          </w:p>
        </w:tc>
      </w:tr>
      <w:tr w:rsidR="007620AC" w14:paraId="37B7B621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54505B51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29CC170E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159D4BC1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شرطی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شدن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نوع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S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نوعR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4E6FF285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157</w:t>
            </w:r>
          </w:p>
        </w:tc>
      </w:tr>
      <w:tr w:rsidR="007620AC" w14:paraId="159D1E15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1DD2D35A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3C02E27C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55B79121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دیدگاه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اسکینر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دربارة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تقویت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7E476FE8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158</w:t>
            </w:r>
          </w:p>
        </w:tc>
      </w:tr>
      <w:tr w:rsidR="007620AC" w14:paraId="191999F1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4797B66A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223DCF7C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384D8CC2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نمودار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تراکمی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121DB79C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162</w:t>
            </w:r>
          </w:p>
        </w:tc>
      </w:tr>
      <w:tr w:rsidR="007620AC" w14:paraId="0A7F05B7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063363DC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7C8A8FF6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6AC1D48A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شرطی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کردن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پاسخ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فشار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دادن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اهرم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29039BDC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163</w:t>
            </w:r>
          </w:p>
        </w:tc>
      </w:tr>
      <w:tr w:rsidR="007620AC" w14:paraId="2072244F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460AF933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2E06EA74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5A5D1E35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شکل‌دهی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415CCEB1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164</w:t>
            </w:r>
          </w:p>
        </w:tc>
      </w:tr>
      <w:tr w:rsidR="007620AC" w14:paraId="684050AC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55E7B387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34DF312A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716DDA0B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خاموشی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1E52C445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165</w:t>
            </w:r>
          </w:p>
        </w:tc>
      </w:tr>
      <w:tr w:rsidR="007620AC" w14:paraId="4CE92F0C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0663CCE0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3DB7608D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3EFFDD63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بازگشت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خودبه‌خودی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78DCE279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166</w:t>
            </w:r>
          </w:p>
        </w:tc>
      </w:tr>
      <w:tr w:rsidR="007620AC" w14:paraId="286D0656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28BEB933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37D3AB33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4E5B9CEB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رفتار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خرافی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2B9FB199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166</w:t>
            </w:r>
          </w:p>
        </w:tc>
      </w:tr>
      <w:tr w:rsidR="007620AC" w14:paraId="75EF5456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7998DD37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786B8E39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513C1BAA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کنشگر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تمیزی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09FE2573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167</w:t>
            </w:r>
          </w:p>
        </w:tc>
      </w:tr>
      <w:tr w:rsidR="007620AC" w14:paraId="3DE4F94D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798363D8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409A585E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7C3CF492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تقویت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ثانوی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و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تقویت‌کننده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ثانوی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497F90DB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169</w:t>
            </w:r>
          </w:p>
        </w:tc>
      </w:tr>
      <w:tr w:rsidR="007620AC" w14:paraId="2D1C490E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143CCD5A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7B9EA905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10C70EEB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تقویت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کننده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های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تعمیم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یافته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3F9408A4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170</w:t>
            </w:r>
          </w:p>
        </w:tc>
      </w:tr>
      <w:tr w:rsidR="007620AC" w14:paraId="7F227D7F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312B70E2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6A965CED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2577CD3C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زنجیره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سازی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0009482C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171</w:t>
            </w:r>
          </w:p>
        </w:tc>
      </w:tr>
      <w:tr w:rsidR="007620AC" w14:paraId="11A02C06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69357635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4304CDA8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2A529048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تقویت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کننده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های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مثبت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و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منفی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3C75E35D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173</w:t>
            </w:r>
          </w:p>
        </w:tc>
      </w:tr>
      <w:tr w:rsidR="007620AC" w14:paraId="251369DC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48C58F5C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5E19AA91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19B156F8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تنبیه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436216D9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174</w:t>
            </w:r>
          </w:p>
        </w:tc>
      </w:tr>
      <w:tr w:rsidR="007620AC" w14:paraId="45D379AA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74D0ED64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0E3018AE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662F8EB8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جانشین‌های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تنبیه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49831BEF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178</w:t>
            </w:r>
          </w:p>
        </w:tc>
      </w:tr>
      <w:tr w:rsidR="007620AC" w14:paraId="2B086F64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5CEF406E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61879559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29796BEC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مقایسة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اسکینر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با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ثروندایک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322E087D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179</w:t>
            </w:r>
          </w:p>
        </w:tc>
      </w:tr>
      <w:tr w:rsidR="007620AC" w14:paraId="7FCC8F8F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7DA609D8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65D49E59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28CBB857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برنامه‌های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تقویتی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2A6BACAF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181</w:t>
            </w:r>
          </w:p>
        </w:tc>
      </w:tr>
      <w:tr w:rsidR="007620AC" w14:paraId="5BE717F3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65AC66EB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21F53CE2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582D7913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نسبیت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تقویت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638AB8F9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194</w:t>
            </w:r>
          </w:p>
        </w:tc>
      </w:tr>
      <w:tr w:rsidR="007620AC" w14:paraId="2F026D54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4B8EA9E8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3B1900F3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494631AF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دیوید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پریماک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و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تجدید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نظر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پریماک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24ECE463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195</w:t>
            </w:r>
          </w:p>
        </w:tc>
      </w:tr>
      <w:tr w:rsidR="007620AC" w14:paraId="47A8DAC9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0B28EE4F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3C4B086B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258EC1CC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ارزشیابی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از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نظریه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اسکینر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70AD692D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210</w:t>
            </w:r>
          </w:p>
        </w:tc>
      </w:tr>
      <w:tr w:rsidR="007620AC" w14:paraId="292D453A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33DE192D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6A78AA1D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3223016A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خدمت‌ها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03FA020C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210</w:t>
            </w:r>
          </w:p>
        </w:tc>
      </w:tr>
      <w:tr w:rsidR="007620AC" w14:paraId="54DF61E6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48C584C2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5C82D347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21F02B9A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انتقادها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15C58080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210</w:t>
            </w:r>
          </w:p>
        </w:tc>
      </w:tr>
      <w:tr w:rsidR="007620AC" w14:paraId="45A5DE7D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18BBA5A0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بخش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سه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: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نظریه‌های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عمدتاً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تداعی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گرایی</w:t>
            </w:r>
            <w:proofErr w:type="spellEnd"/>
          </w:p>
        </w:tc>
        <w:tc>
          <w:tcPr>
            <w:tcW w:w="1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71CDA245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فصل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هفتم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: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ایوان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پترویچ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پاولوف</w:t>
            </w:r>
            <w:proofErr w:type="spellEnd"/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78D72547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ایجاد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بازتاب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شرطی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: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دیدگاه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پاولوف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درباره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تقویت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70BE0A81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269</w:t>
            </w:r>
          </w:p>
        </w:tc>
      </w:tr>
      <w:tr w:rsidR="007620AC" w14:paraId="3B9E29BF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07554358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6D0549F4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7EF2FE50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خاموشی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آزمایشی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4B1339D3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270</w:t>
            </w:r>
          </w:p>
        </w:tc>
      </w:tr>
      <w:tr w:rsidR="007620AC" w14:paraId="7DDF8954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3DB452E9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49DD9C45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55C0E4EC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بازگشت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خودبه‌خودی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641B141D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270</w:t>
            </w:r>
          </w:p>
        </w:tc>
      </w:tr>
      <w:tr w:rsidR="007620AC" w14:paraId="65C77B69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03A451D5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51E404A9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3393AEA6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شرطی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شدن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سطح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بالاتر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439FD552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271</w:t>
            </w:r>
          </w:p>
        </w:tc>
      </w:tr>
      <w:tr w:rsidR="007620AC" w14:paraId="59C3D490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30D65612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29B0ABBC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79B911CD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تعمیم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4BECE2C1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272</w:t>
            </w:r>
          </w:p>
        </w:tc>
      </w:tr>
      <w:tr w:rsidR="007620AC" w14:paraId="7F49C01D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48BE78F8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4E33A812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2EC39C8C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تمییز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215970D1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273</w:t>
            </w:r>
          </w:p>
        </w:tc>
      </w:tr>
      <w:tr w:rsidR="007620AC" w14:paraId="3D3E392F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4B5C0F99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25CF2C30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17DEEB7B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انواع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شرطی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شدن‌ها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5DFC9071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274</w:t>
            </w:r>
          </w:p>
        </w:tc>
      </w:tr>
      <w:tr w:rsidR="007620AC" w14:paraId="5D45F4A1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17249CC3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729EB2C3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4D3CDF72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برانگیختگی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و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بازداری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3354F4F4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278</w:t>
            </w:r>
          </w:p>
        </w:tc>
      </w:tr>
      <w:tr w:rsidR="007620AC" w14:paraId="2AA38628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5FC6A2F9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6267062B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2564860D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رفتار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قالبی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پویا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1C775FD1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278</w:t>
            </w:r>
          </w:p>
        </w:tc>
      </w:tr>
      <w:tr w:rsidR="007620AC" w14:paraId="4FF3092B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5E5E6CF8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67874806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4BE2F787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گسترش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و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تمرکز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5D3EDEB7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279</w:t>
            </w:r>
          </w:p>
        </w:tc>
      </w:tr>
      <w:tr w:rsidR="007620AC" w14:paraId="1A5393E7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39B385AC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371BE32A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43E68744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مقایسة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شرطی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شدن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کلاسیک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با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شرطی‌سازی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وسیله‌ای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7DE020B4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283</w:t>
            </w:r>
          </w:p>
        </w:tc>
      </w:tr>
      <w:tr w:rsidR="007620AC" w14:paraId="2721C134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135DB7CC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0D60CD67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55B4960C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درماندگی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آموخته‌شده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0BED3BF4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296</w:t>
            </w:r>
          </w:p>
        </w:tc>
      </w:tr>
      <w:tr w:rsidR="007620AC" w14:paraId="5E95F230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54FDBF42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259F18E0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638A114E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آزمایش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جان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بی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واتسون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با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آلبرت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کوچولو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42C6C590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311</w:t>
            </w:r>
          </w:p>
        </w:tc>
      </w:tr>
      <w:tr w:rsidR="007620AC" w14:paraId="7C03792A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39790337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727D1E68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45047C49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دیدگاه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پاولوف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دربارة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آموزش‌وپرورش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5820C3C6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320</w:t>
            </w:r>
          </w:p>
        </w:tc>
      </w:tr>
      <w:tr w:rsidR="007620AC" w14:paraId="6A30F821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2C4C323A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022F9931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7714902A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ارزشیابی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از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نظریه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پاولوف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6AEB9145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320</w:t>
            </w:r>
          </w:p>
        </w:tc>
      </w:tr>
      <w:tr w:rsidR="007620AC" w14:paraId="4DB01569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73ABF1C3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2666B5A2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4D52E1FD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خدمت‌ها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7FB49474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321</w:t>
            </w:r>
          </w:p>
        </w:tc>
      </w:tr>
      <w:tr w:rsidR="007620AC" w14:paraId="29C1DAFD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77322CF1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5AF3048C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38025763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انتقادها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4CDF335A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321</w:t>
            </w:r>
          </w:p>
        </w:tc>
      </w:tr>
      <w:tr w:rsidR="007620AC" w14:paraId="230FC605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0CFAE6D8" w14:textId="77777777" w:rsidR="007620AC" w:rsidRDefault="007620AC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10769229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فصل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هشتم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: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ادوین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ری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گاتری</w:t>
            </w:r>
            <w:proofErr w:type="spellEnd"/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2FD1F062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مفاهیم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نظری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عمده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23FFB000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327</w:t>
            </w:r>
          </w:p>
        </w:tc>
      </w:tr>
      <w:tr w:rsidR="007620AC" w14:paraId="45F660D2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2F2C7560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579FA942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232D2A76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تنها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قانون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یادگیری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16C2B069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329</w:t>
            </w:r>
          </w:p>
        </w:tc>
      </w:tr>
      <w:tr w:rsidR="007620AC" w14:paraId="74216DB4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17ED265E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7FE5A1F6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278354F4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یادگیری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تک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کوششی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745ECE68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330</w:t>
            </w:r>
          </w:p>
        </w:tc>
      </w:tr>
      <w:tr w:rsidR="007620AC" w14:paraId="5E9FFF17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417A9165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1628A50A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30501FD7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اصل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تأخر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0CE23F38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330</w:t>
            </w:r>
          </w:p>
        </w:tc>
      </w:tr>
      <w:tr w:rsidR="007620AC" w14:paraId="5F2A4716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3B09F497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07F91987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7A550D42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محرک‌های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ناشی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از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حرکت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2BEA862D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330</w:t>
            </w:r>
          </w:p>
        </w:tc>
      </w:tr>
      <w:tr w:rsidR="007620AC" w14:paraId="3ABBBC36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73F5EF8E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3CF40F40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79F9DD0B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چرا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تمرین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عملکرد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را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بهبود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می‌بخشد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>؟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01A1E430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332</w:t>
            </w:r>
          </w:p>
        </w:tc>
      </w:tr>
      <w:tr w:rsidR="007620AC" w14:paraId="1C2D6C8C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4F3034FD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076DBD42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18023D4F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روش‌های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ترک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عادت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28F6B93F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337</w:t>
            </w:r>
          </w:p>
        </w:tc>
      </w:tr>
      <w:tr w:rsidR="007620AC" w14:paraId="0170E428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15A9F55A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343643E7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20D7D654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پرهیز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از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عادت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13460D17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338</w:t>
            </w:r>
          </w:p>
        </w:tc>
      </w:tr>
      <w:tr w:rsidR="007620AC" w14:paraId="1CB683D4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62ED79DE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4B69215A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1B3147A0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تنبیه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4C957501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343</w:t>
            </w:r>
          </w:p>
        </w:tc>
      </w:tr>
      <w:tr w:rsidR="007620AC" w14:paraId="6486E7DE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20EC150A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بخش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4: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نظریه‌های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عمدتاً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lastRenderedPageBreak/>
              <w:t>شناختی</w:t>
            </w:r>
            <w:proofErr w:type="spellEnd"/>
          </w:p>
        </w:tc>
        <w:tc>
          <w:tcPr>
            <w:tcW w:w="1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1BEFDCE1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lastRenderedPageBreak/>
              <w:t>فصل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دهم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: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نظریه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lastRenderedPageBreak/>
              <w:t>گشتالت</w:t>
            </w:r>
            <w:proofErr w:type="spellEnd"/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5BF958B6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lastRenderedPageBreak/>
              <w:t>قوانین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سازمان‌دهی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ادراک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07CD2812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400</w:t>
            </w:r>
          </w:p>
        </w:tc>
      </w:tr>
      <w:tr w:rsidR="007620AC" w14:paraId="1F07D062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267A2BBB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37EC76FB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059D510E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قانون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طرح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گرایی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7F3B3FB4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400</w:t>
            </w:r>
          </w:p>
        </w:tc>
      </w:tr>
      <w:tr w:rsidR="007620AC" w14:paraId="4BD633F9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09D1F9F9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576F8C0A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6D5C3984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قانون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بستن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06176DA6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401</w:t>
            </w:r>
          </w:p>
        </w:tc>
      </w:tr>
      <w:tr w:rsidR="007620AC" w14:paraId="2815CB12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7394B9E9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2BAD1369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29CE6F0C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قانون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شباهت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6F86F945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401</w:t>
            </w:r>
          </w:p>
        </w:tc>
      </w:tr>
      <w:tr w:rsidR="007620AC" w14:paraId="57AF65C0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671C46E1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42D821AB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78908797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قانون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مجاورت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5BAEB054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401</w:t>
            </w:r>
          </w:p>
        </w:tc>
      </w:tr>
      <w:tr w:rsidR="007620AC" w14:paraId="395E3868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7EDF4B6A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575D2B73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2C58C40E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قانون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ادامة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خوب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6466086D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401</w:t>
            </w:r>
          </w:p>
        </w:tc>
      </w:tr>
      <w:tr w:rsidR="007620AC" w14:paraId="4ED7506B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6EA6BC74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0D98A3B5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33CD0A15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قانون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سادگی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5C088B5D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402</w:t>
            </w:r>
          </w:p>
        </w:tc>
      </w:tr>
      <w:tr w:rsidR="007620AC" w14:paraId="5A4ADF66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3534E659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4975B721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43FF3BD0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قانون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شکل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و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زمینه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31A677B3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402</w:t>
            </w:r>
          </w:p>
        </w:tc>
      </w:tr>
      <w:tr w:rsidR="007620AC" w14:paraId="78BC1D19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05692FF0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2F60C289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2E13CC06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اصول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یادگیری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گشتالت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4886DC3E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410</w:t>
            </w:r>
          </w:p>
        </w:tc>
      </w:tr>
      <w:tr w:rsidR="007620AC" w14:paraId="0F99D533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63B53B78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3AB7604F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27F677E3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مرحلة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پیش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از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حل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مسئله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35621A5B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312</w:t>
            </w:r>
          </w:p>
        </w:tc>
      </w:tr>
      <w:tr w:rsidR="007620AC" w14:paraId="1F9F6307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1B94CB96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36530CF7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2B25208C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دیدگاه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روان‌شناسی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گشتالت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دربارة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آ.پ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: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تفکر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بارآور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4A5E52E8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418</w:t>
            </w:r>
          </w:p>
        </w:tc>
      </w:tr>
      <w:tr w:rsidR="007620AC" w14:paraId="1D4E5811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40A6C7BA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59490FA6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62EA2E6A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ارزشیابی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از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نظریة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گشتالت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4D0393EA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433</w:t>
            </w:r>
          </w:p>
        </w:tc>
      </w:tr>
      <w:tr w:rsidR="007620AC" w14:paraId="369EC822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619558C5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397B5A2E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4C3F5DAB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خدمت‌ها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35F9437C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433</w:t>
            </w:r>
          </w:p>
        </w:tc>
      </w:tr>
      <w:tr w:rsidR="007620AC" w14:paraId="26F77318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0470A343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7033EBD2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12EAD71F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انتقادها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564B6F3E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433</w:t>
            </w:r>
          </w:p>
        </w:tc>
      </w:tr>
      <w:tr w:rsidR="007620AC" w14:paraId="4B91BC61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7E0723D3" w14:textId="77777777" w:rsidR="007620AC" w:rsidRDefault="007620AC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72F65A1F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فصل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یازدهم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: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ژان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پیاژه</w:t>
            </w:r>
            <w:proofErr w:type="spellEnd"/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6FEC5CDB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مفاهیم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نظری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عمده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59B338AA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440</w:t>
            </w:r>
          </w:p>
        </w:tc>
      </w:tr>
      <w:tr w:rsidR="007620AC" w14:paraId="21B4B8B2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30F4C149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38A7E483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1BF64B03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هوش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52A86843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440</w:t>
            </w:r>
          </w:p>
        </w:tc>
      </w:tr>
      <w:tr w:rsidR="007620AC" w14:paraId="300DA8D7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2D1E3CC9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7C0EC6BA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5DEADA5C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طرحواره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15C7E0F4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442</w:t>
            </w:r>
          </w:p>
        </w:tc>
      </w:tr>
      <w:tr w:rsidR="007620AC" w14:paraId="5A116408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1712FC6D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4E6A9D8A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6B2A9CF5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جذب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و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انطباق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5CD45D6F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442</w:t>
            </w:r>
          </w:p>
        </w:tc>
      </w:tr>
      <w:tr w:rsidR="007620AC" w14:paraId="1F438258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683778A5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331C47CE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5EFB78F5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تعادل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یابی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: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دیدگاه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پیاژه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دربارة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تقویت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705C4803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443</w:t>
            </w:r>
          </w:p>
        </w:tc>
      </w:tr>
      <w:tr w:rsidR="007620AC" w14:paraId="49C1481D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7BEC2921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2DF2DBEA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58EB5C79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درونی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سازی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58477E33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444</w:t>
            </w:r>
          </w:p>
        </w:tc>
      </w:tr>
      <w:tr w:rsidR="007620AC" w14:paraId="0D5A595B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16F8555B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4FEF4F36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2ABEAB93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مراحل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رشد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یا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تحول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6FC901E3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446</w:t>
            </w:r>
          </w:p>
        </w:tc>
      </w:tr>
      <w:tr w:rsidR="007620AC" w14:paraId="02A7D193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5E229D26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70F39145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4B18F56F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شرایط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بهینه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برای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یادگیری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178C766C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449</w:t>
            </w:r>
          </w:p>
        </w:tc>
      </w:tr>
      <w:tr w:rsidR="007620AC" w14:paraId="047B39C6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7B1F9AB0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067E4B2D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3616C3DB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دیدگاه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پیاژه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دربارة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آموزش‌وپرورش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22647F7A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435</w:t>
            </w:r>
          </w:p>
        </w:tc>
      </w:tr>
      <w:tr w:rsidR="007620AC" w14:paraId="786B5E2E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06641B3A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49753FAF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3218FE95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ارزشیابی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از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نظریة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پیاژه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03EB6416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454</w:t>
            </w:r>
          </w:p>
        </w:tc>
      </w:tr>
      <w:tr w:rsidR="007620AC" w14:paraId="52000AEC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4A0901C6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5695D488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4D0749CF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خدمت‌ها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2BA77353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454</w:t>
            </w:r>
          </w:p>
        </w:tc>
      </w:tr>
      <w:tr w:rsidR="007620AC" w14:paraId="762F0CBA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66AFDC6B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03A7E92A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5BA8A023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انتقادها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6F143B2C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454</w:t>
            </w:r>
          </w:p>
        </w:tc>
      </w:tr>
      <w:tr w:rsidR="007620AC" w14:paraId="5A495B2A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0608449E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063D1D6B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فصل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سیزدهم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: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آلبرت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بندورا</w:t>
            </w:r>
            <w:proofErr w:type="spellEnd"/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719E584D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تبیین‌های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اولیه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از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یادگیری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مشاهده‌ای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62AE7848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497</w:t>
            </w:r>
          </w:p>
        </w:tc>
      </w:tr>
      <w:tr w:rsidR="007620AC" w14:paraId="67B67D28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4B3B4182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3B4CFD9B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13A9F3EF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تبیین‌های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ثروندایک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و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واتسون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از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یادگیری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مشاهده‌ای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79FFDC61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497</w:t>
            </w:r>
          </w:p>
        </w:tc>
      </w:tr>
      <w:tr w:rsidR="007620AC" w14:paraId="11BA44B9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5EEC548D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2B748A14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30E1E77A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تبیین‌های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میلر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و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دلارد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از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یادگیری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مشاهده‌ای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6579EE5D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497</w:t>
            </w:r>
          </w:p>
        </w:tc>
      </w:tr>
      <w:tr w:rsidR="007620AC" w14:paraId="276C21C6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31EB2601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251DC211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01AAC784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تحلیل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اسکینری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از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یادگیری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مشاهده‌ای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0FB4D56B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498</w:t>
            </w:r>
          </w:p>
        </w:tc>
      </w:tr>
      <w:tr w:rsidR="007620AC" w14:paraId="5E389833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7A586060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2B762C9A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6F99CECF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غیر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انسان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چگونه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می‌تواند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از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را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مشاهده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یاد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بگیرند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7A9FC43F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500</w:t>
            </w:r>
          </w:p>
        </w:tc>
      </w:tr>
      <w:tr w:rsidR="007620AC" w14:paraId="1F9792C3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3C33CB59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2A0CE19C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4B37F410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مفاهیم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نظری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عمده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3C9AF436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504</w:t>
            </w:r>
          </w:p>
        </w:tc>
      </w:tr>
      <w:tr w:rsidR="007620AC" w14:paraId="0A97D5B1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14E5FFD6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569462AC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159A4797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فرایندهای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توجه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5AB91CEF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505</w:t>
            </w:r>
          </w:p>
        </w:tc>
      </w:tr>
      <w:tr w:rsidR="007620AC" w14:paraId="11ED229B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7DEDAB1C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21CA39C6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66172A48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فرایندهای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یادداری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یا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به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یادسپاری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21BE05B1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506</w:t>
            </w:r>
          </w:p>
        </w:tc>
      </w:tr>
      <w:tr w:rsidR="007620AC" w14:paraId="53022F7B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51555CD7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52D7775A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2F0A89F8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فرایندهای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تولید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رفتاری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425BB381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507</w:t>
            </w:r>
          </w:p>
        </w:tc>
      </w:tr>
      <w:tr w:rsidR="007620AC" w14:paraId="110B0B49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15E476CD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78AE4646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50CAE749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فرایندهای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انگیزشی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1317BF1A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508</w:t>
            </w:r>
          </w:p>
        </w:tc>
      </w:tr>
      <w:tr w:rsidR="007620AC" w14:paraId="3260E618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6FBCA3E4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32E860C2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17D4C0EE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جبرمتقابل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یا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تعیین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گری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متقابل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57FA24C1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508</w:t>
            </w:r>
          </w:p>
        </w:tc>
      </w:tr>
      <w:tr w:rsidR="007620AC" w14:paraId="09A342BE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4A67E25D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0E63D3BE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26BEDE37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خودنظم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دهی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رفتار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035FB4AF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510</w:t>
            </w:r>
          </w:p>
        </w:tc>
      </w:tr>
      <w:tr w:rsidR="007620AC" w14:paraId="18A07EC8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57442A18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6D0FC7F6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11772221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عملکرد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اخلاقی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226505E9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512</w:t>
            </w:r>
          </w:p>
        </w:tc>
      </w:tr>
      <w:tr w:rsidR="007620AC" w14:paraId="7D0C3826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602C8EE7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2873225D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63FA1995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کاربردهای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عملی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یادگیری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مشاهده‌ای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0CB45421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516</w:t>
            </w:r>
          </w:p>
        </w:tc>
      </w:tr>
      <w:tr w:rsidR="007620AC" w14:paraId="6AD7963D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58D2F28E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2FB00907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0F572A69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فرایند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عملی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الگوبرداری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یا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سرمشق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گیری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1E02C1F5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516</w:t>
            </w:r>
          </w:p>
        </w:tc>
      </w:tr>
      <w:tr w:rsidR="007620AC" w14:paraId="0740EC8B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6BAB91E0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300837FC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465890E5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نظریه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شناختی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اجتماعی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4EBB6C92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524</w:t>
            </w:r>
          </w:p>
        </w:tc>
      </w:tr>
      <w:tr w:rsidR="007620AC" w14:paraId="309BAE4B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60BF3941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23046BA0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7BA19A02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نورون‌های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آینه‌ای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: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یادگیری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مشاهده‌ای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019E4A79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526</w:t>
            </w:r>
          </w:p>
        </w:tc>
      </w:tr>
      <w:tr w:rsidR="007620AC" w14:paraId="055B73FF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5F7A3EC6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6FC71ADD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445E8C37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دیدگاه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بندورا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دربارة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آموزش‌وپرورش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7A36049A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528</w:t>
            </w:r>
          </w:p>
        </w:tc>
      </w:tr>
      <w:tr w:rsidR="007620AC" w14:paraId="34B64917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207DAE6B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1098FBDE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58032194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ارزشیابی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از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نظریه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بندورا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0B2C11DF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529</w:t>
            </w:r>
          </w:p>
        </w:tc>
      </w:tr>
      <w:tr w:rsidR="007620AC" w14:paraId="08BD46CD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501ED038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4926DE84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7333568D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خدمت‌ها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138C4EF2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529</w:t>
            </w:r>
          </w:p>
        </w:tc>
      </w:tr>
      <w:tr w:rsidR="007620AC" w14:paraId="14430AD2" w14:textId="77777777" w:rsidTr="00CD43B9">
        <w:tblPrEx>
          <w:tblCellMar>
            <w:top w:w="0" w:type="dxa"/>
            <w:bottom w:w="0" w:type="dxa"/>
          </w:tblCellMar>
        </w:tblPrEx>
        <w:tc>
          <w:tcPr>
            <w:tcW w:w="2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left w:w="108" w:type="dxa"/>
              <w:right w:w="108" w:type="dxa"/>
            </w:tcMar>
          </w:tcPr>
          <w:p w14:paraId="6051D261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3E00BE03" w14:textId="77777777" w:rsidR="007620AC" w:rsidRDefault="007620AC">
            <w:pPr>
              <w:bidi/>
              <w:spacing w:after="200" w:line="276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3D864CB6" w14:textId="77777777" w:rsidR="007620AC" w:rsidRDefault="00000000">
            <w:pPr>
              <w:bidi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انتقادها</w:t>
            </w:r>
            <w:proofErr w:type="spellEnd"/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6439B0DD" w14:textId="77777777" w:rsidR="007620AC" w:rsidRDefault="00000000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530</w:t>
            </w:r>
          </w:p>
        </w:tc>
      </w:tr>
    </w:tbl>
    <w:p w14:paraId="6B02C96B" w14:textId="77777777" w:rsidR="007620AC" w:rsidRDefault="007620AC">
      <w:pPr>
        <w:tabs>
          <w:tab w:val="right" w:pos="522"/>
          <w:tab w:val="left" w:pos="5370"/>
        </w:tabs>
        <w:bidi/>
        <w:ind w:left="522" w:right="-426"/>
        <w:rPr>
          <w:rFonts w:ascii="Calibri" w:eastAsia="Calibri" w:hAnsi="Calibri" w:cs="Calibri"/>
          <w:b/>
          <w:sz w:val="24"/>
        </w:rPr>
      </w:pPr>
    </w:p>
    <w:p w14:paraId="64F5F160" w14:textId="77777777" w:rsidR="007620AC" w:rsidRDefault="007620AC">
      <w:pPr>
        <w:spacing w:line="256" w:lineRule="auto"/>
        <w:rPr>
          <w:rFonts w:ascii="Calibri" w:eastAsia="Calibri" w:hAnsi="Calibri" w:cs="Calibri"/>
        </w:rPr>
      </w:pPr>
    </w:p>
    <w:sectPr w:rsidR="007620A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20AC"/>
    <w:rsid w:val="007620AC"/>
    <w:rsid w:val="00CD4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18775C50"/>
  <w15:docId w15:val="{E36CBFC5-69C7-4EB9-9F51-669B3BCE2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629</Words>
  <Characters>3587</Characters>
  <Application>Microsoft Office Word</Application>
  <DocSecurity>0</DocSecurity>
  <Lines>29</Lines>
  <Paragraphs>8</Paragraphs>
  <ScaleCrop>false</ScaleCrop>
  <Company/>
  <LinksUpToDate>false</LinksUpToDate>
  <CharactersWithSpaces>4208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amouzesh</dc:creator>
  <cp:lastModifiedBy>No1</cp:lastModifiedBy>
  <cp:revision>2</cp:revision>
  <dcterms:created xsi:type="dcterms:W3CDTF">2024-04-04T06:27:00Z</dcterms:created>
  <dcterms:modified xsi:type="dcterms:W3CDTF">2024-04-04T06:27:00Z</dcterms:modified>
</cp:coreProperties>
</file>